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comments.xml" ContentType="application/vnd.openxmlformats-officedocument.wordprocessingml.comments+xml"/>
  <Override PartName="/word/media/image1.jpeg" ContentType="image/jpeg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ing1"/>
        <w:spacing w:before="0" w:after="283"/>
        <w:ind w:hanging="0" w:start="155" w:end="169"/>
        <w:jc w:val="center"/>
        <w:rPr>
          <w:rFonts w:ascii="Times New Roman" w:hAnsi="Times New Roman" w:cs="Times New Roman"/>
          <w:sz w:val="28"/>
          <w:szCs w:val="28"/>
        </w:rPr>
      </w:pPr>
      <w:r>
        <w:rPr/>
        <w:drawing>
          <wp:inline distT="0" distB="0" distL="0" distR="0">
            <wp:extent cx="1477645" cy="965835"/>
            <wp:effectExtent l="0" t="0" r="0" b="0"/>
            <wp:docPr id="1" name="Kép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Kép2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-119" t="-182" r="-119" b="-1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7645" cy="965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Heading1"/>
        <w:spacing w:before="0" w:after="283"/>
        <w:ind w:hanging="0" w:start="155" w:end="169"/>
        <w:jc w:val="center"/>
        <w:rPr/>
      </w:pPr>
      <w:r>
        <w:rPr>
          <w:rFonts w:cs="Times New Roman" w:ascii="Times New Roman" w:hAnsi="Times New Roman"/>
          <w:sz w:val="28"/>
          <w:szCs w:val="28"/>
        </w:rPr>
        <w:t>Adatkezelési</w:t>
      </w:r>
      <w:r>
        <w:rPr>
          <w:rFonts w:cs="Times New Roman" w:ascii="Times New Roman" w:hAnsi="Times New Roman"/>
          <w:spacing w:val="-3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tájékoztató</w:t>
      </w:r>
    </w:p>
    <w:p>
      <w:pPr>
        <w:pStyle w:val="Textbody"/>
        <w:ind w:start="155" w:end="175"/>
        <w:jc w:val="center"/>
        <w:rPr/>
      </w:pPr>
      <w:r>
        <w:rPr>
          <w:rFonts w:cs="Times New Roman" w:ascii="Times New Roman" w:hAnsi="Times New Roman"/>
          <w:i/>
          <w:iCs/>
          <w:color w:val="000000"/>
        </w:rPr>
        <w:t>A 2026. évi országgyűlési választási</w:t>
      </w:r>
      <w:r>
        <w:rPr>
          <w:rFonts w:cs="Times New Roman" w:ascii="Times New Roman" w:hAnsi="Times New Roman"/>
          <w:i/>
          <w:iCs/>
        </w:rPr>
        <w:t xml:space="preserve"> eljárásban résztvevő, választott </w:t>
      </w:r>
      <w:r>
        <w:rPr>
          <w:rFonts w:cs="Times New Roman" w:ascii="Times New Roman" w:hAnsi="Times New Roman"/>
          <w:b/>
          <w:bCs/>
          <w:i/>
          <w:iCs/>
        </w:rPr>
        <w:t>szavazatszámláló bizottsági tagok és póttagok</w:t>
      </w:r>
    </w:p>
    <w:p>
      <w:pPr>
        <w:pStyle w:val="Textbody"/>
        <w:spacing w:before="0" w:after="283"/>
        <w:ind w:start="155" w:end="175"/>
        <w:jc w:val="center"/>
        <w:rPr/>
      </w:pPr>
      <w:r>
        <w:rPr>
          <w:rFonts w:cs="Times New Roman" w:ascii="Times New Roman" w:hAnsi="Times New Roman"/>
          <w:i/>
          <w:iCs/>
          <w:spacing w:val="-3"/>
        </w:rPr>
        <w:t xml:space="preserve">személyes </w:t>
      </w:r>
      <w:r>
        <w:rPr>
          <w:rFonts w:cs="Times New Roman" w:ascii="Times New Roman" w:hAnsi="Times New Roman"/>
          <w:i/>
          <w:iCs/>
        </w:rPr>
        <w:t>adatainak kezeléséről</w:t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Tájékoztatjuk, hogy a 2026. évi országgyűlési választási eljárásban részt vevő Szavazatszámláló Bizottsági Tagok és Póttagok (együtt: </w:t>
      </w:r>
      <w:r>
        <w:rPr>
          <w:rFonts w:cs="Times New Roman" w:ascii="Times New Roman" w:hAnsi="Times New Roman"/>
          <w:i/>
          <w:iCs/>
        </w:rPr>
        <w:t>érintettek, illetve tagok) jelentkezése, a kiválasztási eljárás, valamint a választási eljárás lefolytatása céljából</w:t>
      </w:r>
      <w:r>
        <w:rPr>
          <w:rFonts w:cs="Times New Roman" w:ascii="Times New Roman" w:hAnsi="Times New Roman"/>
        </w:rPr>
        <w:t xml:space="preserve"> (</w:t>
      </w:r>
      <w:r>
        <w:rPr>
          <w:rFonts w:cs="Times New Roman" w:ascii="Times New Roman" w:hAnsi="Times New Roman"/>
          <w:b/>
          <w:bCs/>
        </w:rPr>
        <w:t>adatkezelés célja</w:t>
      </w:r>
      <w:r>
        <w:rPr>
          <w:rFonts w:cs="Times New Roman" w:ascii="Times New Roman" w:hAnsi="Times New Roman"/>
        </w:rPr>
        <w:t>) az alábbi személyes adatokat kezeljük (</w:t>
      </w:r>
      <w:r>
        <w:rPr>
          <w:rFonts w:cs="Times New Roman" w:ascii="Times New Roman" w:hAnsi="Times New Roman"/>
          <w:b/>
          <w:bCs/>
        </w:rPr>
        <w:t>kezelt adatok köre</w:t>
      </w:r>
      <w:r>
        <w:rPr>
          <w:rFonts w:cs="Times New Roman" w:ascii="Times New Roman" w:hAnsi="Times New Roman"/>
        </w:rPr>
        <w:t>):</w:t>
      </w:r>
    </w:p>
    <w:p>
      <w:pPr>
        <w:pStyle w:val="Standard"/>
        <w:jc w:val="both"/>
        <w:rPr/>
      </w:pPr>
      <w:r>
        <w:rPr/>
      </w:r>
    </w:p>
    <w:p>
      <w:pPr>
        <w:pStyle w:val="TableParagraph"/>
        <w:numPr>
          <w:ilvl w:val="0"/>
          <w:numId w:val="1"/>
        </w:numPr>
        <w:jc w:val="both"/>
        <w:rPr/>
      </w:pPr>
      <w:r>
        <w:rPr>
          <w:rFonts w:cs="Times New Roman" w:ascii="Times New Roman" w:hAnsi="Times New Roman"/>
          <w:spacing w:val="-1"/>
        </w:rPr>
        <w:t>A Szavazatszámláló</w:t>
      </w:r>
      <w:r>
        <w:rPr>
          <w:rFonts w:cs="Times New Roman" w:ascii="Times New Roman" w:hAnsi="Times New Roman"/>
          <w:spacing w:val="-12"/>
        </w:rPr>
        <w:t xml:space="preserve"> B</w:t>
      </w:r>
      <w:r>
        <w:rPr>
          <w:rFonts w:cs="Times New Roman" w:ascii="Times New Roman" w:hAnsi="Times New Roman"/>
        </w:rPr>
        <w:t>izottsági</w:t>
      </w:r>
      <w:r>
        <w:rPr>
          <w:rFonts w:cs="Times New Roman" w:ascii="Times New Roman" w:hAnsi="Times New Roman"/>
          <w:spacing w:val="-15"/>
        </w:rPr>
        <w:t xml:space="preserve"> T</w:t>
      </w:r>
      <w:r>
        <w:rPr>
          <w:rFonts w:cs="Times New Roman" w:ascii="Times New Roman" w:hAnsi="Times New Roman"/>
        </w:rPr>
        <w:t>ag (Póttag):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neve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(családi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és utónév, illetve utónevei),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születési helye, ideje,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anyja neve,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címe (lakóhelye és tartózkodási helye, ha utóbbi releváns), illetve értesítési címe,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személyi azonosítója (okmány száma),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adóazonosító jele,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TAJ-száma,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telefonszáma,</w:t>
      </w:r>
    </w:p>
    <w:p>
      <w:pPr>
        <w:pStyle w:val="TableParagraph"/>
        <w:numPr>
          <w:ilvl w:val="1"/>
          <w:numId w:val="1"/>
        </w:numPr>
        <w:tabs>
          <w:tab w:val="clear" w:pos="709"/>
          <w:tab w:val="left" w:pos="853" w:leader="none"/>
        </w:tabs>
        <w:jc w:val="both"/>
        <w:rPr/>
      </w:pPr>
      <w:r>
        <w:rPr>
          <w:rFonts w:cs="Times New Roman" w:ascii="Times New Roman" w:hAnsi="Times New Roman"/>
        </w:rPr>
        <w:t>e-mail-címe.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Az Adatkezelő hatáskörében eljáró ügyintéző a választási jogosultságot és a lakóhely adatokat a Nemzeti Választási Rendszerben ellenőrzi, egyebekben az Adatkezelő nem kezel olyan személyes adatot, amelyet nem az érintettől gyűjt.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spacing w:before="171" w:after="171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</w:rPr>
        <w:t>Az alkalmazott jogszabályok:</w:t>
      </w:r>
    </w:p>
    <w:p>
      <w:pPr>
        <w:pStyle w:val="Standard"/>
        <w:widowControl w:val="false"/>
        <w:numPr>
          <w:ilvl w:val="0"/>
          <w:numId w:val="1"/>
        </w:numPr>
        <w:tabs>
          <w:tab w:val="clear" w:pos="709"/>
          <w:tab w:val="left" w:pos="820" w:leader="none"/>
          <w:tab w:val="left" w:pos="821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 természetes személyeknek a személyes adatok kezelése tekintetében történő védelméről és az ilyen adatok szabad áramlásáról, valamint a 95/46/EK rendelet hatályon kívül helyezéséről szóló az Európai Parlament és Tanács (EU) 2016/679 Rendelete (GDPR);</w:t>
      </w:r>
    </w:p>
    <w:p>
      <w:pPr>
        <w:pStyle w:val="Standard"/>
        <w:widowControl w:val="false"/>
        <w:numPr>
          <w:ilvl w:val="0"/>
          <w:numId w:val="1"/>
        </w:numPr>
        <w:tabs>
          <w:tab w:val="clear" w:pos="709"/>
          <w:tab w:val="left" w:pos="820" w:leader="none"/>
          <w:tab w:val="left" w:pos="821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Az információs önrendelkezési jogról és az információszabadságról szóló 2011. évi CXII. törvény (Infotv.);</w:t>
      </w:r>
    </w:p>
    <w:p>
      <w:pPr>
        <w:pStyle w:val="Standard"/>
        <w:widowControl w:val="false"/>
        <w:numPr>
          <w:ilvl w:val="0"/>
          <w:numId w:val="1"/>
        </w:numPr>
        <w:tabs>
          <w:tab w:val="clear" w:pos="709"/>
          <w:tab w:val="left" w:pos="820" w:leader="none"/>
          <w:tab w:val="left" w:pos="821" w:leader="none"/>
        </w:tabs>
        <w:spacing w:before="1" w:after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pacing w:val="-1"/>
        </w:rPr>
        <w:t xml:space="preserve">A </w:t>
      </w:r>
      <w:r>
        <w:rPr>
          <w:rFonts w:cs="Times New Roman" w:ascii="Times New Roman" w:hAnsi="Times New Roman"/>
        </w:rPr>
        <w:t>választási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eljárásról</w:t>
      </w:r>
      <w:r>
        <w:rPr>
          <w:rFonts w:cs="Times New Roman" w:ascii="Times New Roman" w:hAnsi="Times New Roman"/>
          <w:spacing w:val="-3"/>
        </w:rPr>
        <w:t xml:space="preserve"> </w:t>
      </w:r>
      <w:r>
        <w:rPr>
          <w:rFonts w:cs="Times New Roman" w:ascii="Times New Roman" w:hAnsi="Times New Roman"/>
        </w:rPr>
        <w:t>szóló</w:t>
      </w:r>
      <w:r>
        <w:rPr>
          <w:rFonts w:cs="Times New Roman" w:ascii="Times New Roman" w:hAnsi="Times New Roman"/>
          <w:spacing w:val="-2"/>
        </w:rPr>
        <w:t xml:space="preserve"> </w:t>
      </w:r>
      <w:r>
        <w:rPr>
          <w:rFonts w:cs="Times New Roman" w:ascii="Times New Roman" w:hAnsi="Times New Roman"/>
        </w:rPr>
        <w:t>2013.</w:t>
      </w:r>
      <w:r>
        <w:rPr>
          <w:rFonts w:cs="Times New Roman" w:ascii="Times New Roman" w:hAnsi="Times New Roman"/>
          <w:spacing w:val="-4"/>
        </w:rPr>
        <w:t xml:space="preserve"> </w:t>
      </w:r>
      <w:r>
        <w:rPr>
          <w:rFonts w:cs="Times New Roman" w:ascii="Times New Roman" w:hAnsi="Times New Roman"/>
        </w:rPr>
        <w:t>évi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XXXVI.</w:t>
      </w:r>
      <w:r>
        <w:rPr>
          <w:rFonts w:cs="Times New Roman" w:ascii="Times New Roman" w:hAnsi="Times New Roman"/>
          <w:spacing w:val="-1"/>
        </w:rPr>
        <w:t xml:space="preserve"> </w:t>
      </w:r>
      <w:r>
        <w:rPr>
          <w:rFonts w:cs="Times New Roman" w:ascii="Times New Roman" w:hAnsi="Times New Roman"/>
        </w:rPr>
        <w:t>törvény (Ve. tv.);</w:t>
      </w:r>
    </w:p>
    <w:p>
      <w:pPr>
        <w:pStyle w:val="Standard"/>
        <w:widowControl w:val="false"/>
        <w:numPr>
          <w:ilvl w:val="0"/>
          <w:numId w:val="1"/>
        </w:numPr>
        <w:tabs>
          <w:tab w:val="clear" w:pos="709"/>
          <w:tab w:val="left" w:pos="820" w:leader="none"/>
          <w:tab w:val="left" w:pos="821" w:leader="none"/>
        </w:tabs>
        <w:spacing w:before="1" w:after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Magyarország helyi önkormányzatairól szóló 2011. évi CLXXXIX. törvény (Mötv.).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spacing w:before="228" w:after="228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</w:rPr>
        <w:t>Az adatkezelés jogalapja: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A </w:t>
      </w:r>
      <w:r>
        <w:rPr>
          <w:rFonts w:cs="Times New Roman" w:ascii="Times New Roman" w:hAnsi="Times New Roman"/>
          <w:b/>
          <w:bCs/>
        </w:rPr>
        <w:t>GDPR 6. cikk (1) bekezdés e) pontja</w:t>
      </w:r>
      <w:r>
        <w:rPr>
          <w:rFonts w:cs="Times New Roman" w:ascii="Times New Roman" w:hAnsi="Times New Roman"/>
        </w:rPr>
        <w:t xml:space="preserve"> alapján az adatkezelés az Adatkezelő közérdekű feladatának végrehajtásához szükséges (kivéve telefonszám és e-mail-cím).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Az érintett telefonszáma, e-mail-címe esetén az adatkezelés jogalapja a </w:t>
      </w:r>
      <w:r>
        <w:rPr>
          <w:rFonts w:cs="Times New Roman" w:ascii="Times New Roman" w:hAnsi="Times New Roman"/>
          <w:b/>
          <w:bCs/>
        </w:rPr>
        <w:t>GDPR 6. cikk (1) bekezdés a) pontja</w:t>
      </w:r>
      <w:r>
        <w:rPr>
          <w:rFonts w:cs="Times New Roman" w:ascii="Times New Roman" w:hAnsi="Times New Roman"/>
        </w:rPr>
        <w:t>, mely szerint az érintett hozzájárulását adta személyes adatainak kezeléséhez.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 telefonszámot és az e-mail-címet kizárólag a szavazatszámlálói bizottsági feladatok ellátásával összefüggésben, kapcsolattartás céljából kezeljük.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spacing w:before="171" w:after="171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</w:rPr>
        <w:t>A személyes adatok továbbításának címzettjei: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 jelentkező, illetve választható tag (póttag) neve (családi és utónév, illetve utónevek) a(z) ……………………….</w:t>
      </w:r>
      <w:r>
        <w:rPr>
          <w:rFonts w:cs="Times New Roman" w:ascii="Times New Roman" w:hAnsi="Times New Roman"/>
        </w:rPr>
        <w:commentReference w:id="0"/>
      </w:r>
      <w:r>
        <w:rPr>
          <w:rFonts w:cs="Times New Roman" w:ascii="Times New Roman" w:hAnsi="Times New Roman"/>
        </w:rPr>
        <w:t xml:space="preserve"> Önkormányzat Képviselő-testülete részére kerül megküldésre a döntés meghozatala céljából (amennyiben a tagot választják és nem delegált, megbízott tagról van szó).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 választott szavazatszámláló bizottsági tagok és póttagok névjegyzékét, a kiválasztással kapcsolatos, illetve az ellátandó feladatokra vonatkozó dokumentumokat, – a rajtuk szereplő személyes adatokkal együtt – a Nemzeti Választási Irodának, illetve a Helyi Választási Bizottság részére továbbítjuk.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 kezelt adatokat az Adatkezelő hatáskörében eljáró valamennyi olyan ügyintézője megismerheti, akinek a feladatkörébe tartozik a szavazatszámláló bizottság (SzSzB) tagjainak, valamint póttagjainak kiválasztásával kapcsolatos eljárás lefolytatása.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spacing w:before="171" w:after="171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b/>
        </w:rPr>
        <w:t>A személyes adatok megőrzésének, tárolásának ideje: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Az Adatkezelő a személyes adatokat </w:t>
      </w:r>
      <w:r>
        <w:rPr>
          <w:rFonts w:cs="Times New Roman" w:ascii="Times New Roman" w:hAnsi="Times New Roman"/>
          <w:i/>
          <w:iCs/>
        </w:rPr>
        <w:t>az önkormányzati hivatalok egységes irattári tervének kiadásáról szóló 78/2012. (XII.28.) BM rendelet</w:t>
      </w:r>
      <w:r>
        <w:rPr>
          <w:rFonts w:cs="Times New Roman" w:ascii="Times New Roman" w:hAnsi="Times New Roman"/>
        </w:rPr>
        <w:t xml:space="preserve"> szerint 15 évig kezeli, őrzi meg, majd azokat 15 év eltelte után a Magyar Nemzeti Levéltár illetékes Megyei Levéltára részére továbbítja.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Heading1"/>
        <w:ind w:hanging="0" w:start="0"/>
        <w:jc w:val="both"/>
        <w:rPr>
          <w:rFonts w:ascii="Times New Roman" w:hAnsi="Times New Roman"/>
        </w:rPr>
      </w:pPr>
      <w:bookmarkStart w:id="0" w:name="__RefHeading___Toc4986_5986553381"/>
      <w:bookmarkEnd w:id="0"/>
      <w:r>
        <w:rPr>
          <w:rFonts w:cs="Times New Roman" w:ascii="Times New Roman" w:hAnsi="Times New Roman"/>
        </w:rPr>
        <w:t>Az Ön jogai (érintetti jogok):</w:t>
      </w:r>
    </w:p>
    <w:p>
      <w:pPr>
        <w:pStyle w:val="Heading1"/>
        <w:ind w:hanging="0" w:start="8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Bármikor kérhet tájékoztatást személyes adatai kezelésével kapcsolatban írásban (e-mailben, illetve postai címünkre megküldött levélben) vagy szóban (személyesen, illetve telefonon).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Felhívjuk a figyelmét, hogy telefonon történő megkeresése esetén – amennyiben az adatkezeléssel kapcsolatos igénye indokolja (pl.: adatainak törlését kéri), – akkor azonosítanunk kell abból a célból, hogy jogosult-e a kérésre, mielőtt teljesítjük azt.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Amennyiben személyazonossága igazolása nem lehetséges, akkor kizárólag általános tájékoztatást adhatunk az adatkezeléssel kapcsolatban. Emiatt javasoljuk, hogy kérdését vagy igényét lehetőleg írásban jelezze.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Szintén bármikor kérheti adatai helyesbítését, módosítását, ha például azok megváltoztak (pl.: neve, címe, telefonszáma, stb.), vagy amennyiben azt tapasztalja, hogy például hibásan adta meg vagy tévesen, illetve hiányosan rögzítettük azokat.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Adatai törlését vagy az adatkezelés korlátozását is kérheti, s ha annak nincs jogszabályi akadálya, akkor kérésének haladéktalanul eleget teszünk (ellenkező esetben pedig tájékoztatjuk a megtagadásának indokáról).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Az önkéntes hozzájárulása alapján kezelt személyes adatait (e-mail-cím, telefonszám) ez irányú kérelmét követően haladéktalanul töröljük. Ilyen irányú kérelem hiányában az önként megadott kapcsolattartási adatokat a választási eredmények megállapítását követően töröljük.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Amennyiben olyan kérdése merülne fel, amely jelen adatkezelési tájékoztatónk alapján nem egyértelmű, kérjük, hogy forduljon hozzánk bizalommal fenti elérhetőségeinken!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Törekszünk arra, hogy minél gyorsabban választ adjunk, viszont amennyiben kérdése megfelelő megválaszolása több időt vesz igénybe, akkor legfeljebb 15 napon belül vállaljuk a válaszadás teljesítését.</w:t>
      </w:r>
    </w:p>
    <w:p>
      <w:pPr>
        <w:pStyle w:val="TableParagraph"/>
        <w:tabs>
          <w:tab w:val="clear" w:pos="709"/>
          <w:tab w:val="left" w:pos="828" w:leader="none"/>
          <w:tab w:val="left" w:pos="829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 xml:space="preserve">Az adatkezeléssel, valamint az ahhoz fűződő jogaival kapcsolatban bármikor kérhet tájékoztatást </w:t>
      </w:r>
      <w:r>
        <w:rPr>
          <w:rFonts w:cs="Times New Roman" w:ascii="Times New Roman" w:hAnsi="Times New Roman"/>
          <w:b/>
          <w:bCs/>
        </w:rPr>
        <w:t>alábbi elérhetőségeinken</w:t>
      </w:r>
      <w:r>
        <w:rPr>
          <w:rFonts w:cs="Times New Roman" w:ascii="Times New Roman" w:hAnsi="Times New Roman"/>
        </w:rPr>
        <w:t>:</w:t>
      </w:r>
      <w:r>
        <w:rPr>
          <w:rFonts w:cs="Times New Roman" w:ascii="Times New Roman" w:hAnsi="Times New Roman"/>
        </w:rPr>
        <w:commentReference w:id="1"/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9459" w:type="dxa"/>
        <w:jc w:val="center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firstRow="1" w:noVBand="1" w:lastRow="0" w:firstColumn="1" w:lastColumn="0" w:noHBand="0" w:val="04a0"/>
      </w:tblPr>
      <w:tblGrid>
        <w:gridCol w:w="3882"/>
        <w:gridCol w:w="5577"/>
      </w:tblGrid>
      <w:tr>
        <w:trPr/>
        <w:tc>
          <w:tcPr>
            <w:tcW w:w="38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lang w:eastAsia="en-US" w:bidi="ar-SA"/>
              </w:rPr>
              <w:t>Adatkezelő neve: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8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lang w:eastAsia="en-US" w:bidi="ar-SA"/>
              </w:rPr>
              <w:t>Postai címe: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8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lang w:eastAsia="en-US" w:bidi="ar-SA"/>
              </w:rPr>
              <w:t>E-mail-címe: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8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lang w:eastAsia="en-US" w:bidi="ar-SA"/>
              </w:rPr>
              <w:t>Telefonszáma: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</w:r>
          </w:p>
        </w:tc>
      </w:tr>
      <w:tr>
        <w:trPr/>
        <w:tc>
          <w:tcPr>
            <w:tcW w:w="38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lang w:eastAsia="en-US" w:bidi="ar-SA"/>
              </w:rPr>
              <w:t>Adatvédelmi tisztviselő neve: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lang w:eastAsia="en-US" w:bidi="ar-SA"/>
              </w:rPr>
              <w:t>HANGANOV Kft.</w:t>
            </w:r>
          </w:p>
        </w:tc>
      </w:tr>
      <w:tr>
        <w:trPr/>
        <w:tc>
          <w:tcPr>
            <w:tcW w:w="388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>
                <w:rFonts w:ascii="Times New Roman" w:hAnsi="Times New Roman"/>
              </w:rPr>
            </w:pPr>
            <w:r>
              <w:rPr>
                <w:rFonts w:eastAsia="Calibri" w:cs="Times New Roman" w:ascii="Times New Roman" w:hAnsi="Times New Roman"/>
                <w:kern w:val="0"/>
                <w:lang w:eastAsia="en-US" w:bidi="ar-SA"/>
              </w:rPr>
              <w:t>Adatvédelmi tisztviselő elérhetősége:</w:t>
            </w:r>
          </w:p>
        </w:tc>
        <w:tc>
          <w:tcPr>
            <w:tcW w:w="5577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Standard"/>
              <w:widowControl w:val="false"/>
              <w:rPr/>
            </w:pPr>
            <w:hyperlink r:id="rId3">
              <w:r>
                <w:rPr>
                  <w:rStyle w:val="Style8"/>
                  <w:rFonts w:eastAsia="Calibri" w:ascii="Times New Roman" w:hAnsi="Times New Roman"/>
                  <w:color w:val="0563C1"/>
                  <w:kern w:val="0"/>
                  <w:u w:val="single"/>
                  <w:lang w:eastAsia="en-US" w:bidi="ar-SA"/>
                </w:rPr>
                <w:t>dpo@hanganov.hu</w:t>
              </w:r>
            </w:hyperlink>
          </w:p>
        </w:tc>
      </w:tr>
    </w:tbl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Heading1"/>
        <w:ind w:hanging="0" w:start="0"/>
        <w:jc w:val="both"/>
        <w:rPr>
          <w:rFonts w:ascii="Times New Roman" w:hAnsi="Times New Roman"/>
        </w:rPr>
      </w:pPr>
      <w:bookmarkStart w:id="1" w:name="__RefHeading___Toc4980_598655338"/>
      <w:bookmarkEnd w:id="1"/>
      <w:r>
        <w:rPr>
          <w:rFonts w:cs="Times New Roman" w:ascii="Times New Roman" w:hAnsi="Times New Roman"/>
        </w:rPr>
        <w:t>Panaszkezelés és további jogérvényesítési lehetőségek (jogorvoslathoz való jog):</w:t>
      </w:r>
    </w:p>
    <w:p>
      <w:pPr>
        <w:pStyle w:val="Heading1"/>
        <w:ind w:hanging="0" w:start="0"/>
        <w:jc w:val="both"/>
        <w:rPr>
          <w:rFonts w:ascii="Times New Roman" w:hAnsi="Times New Roman" w:cs="Times New Roman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Minden tőlünk telhetőt megteszünk, hogy a személyes adatok kezelése a jogszabályi előírásoknak megfelelően történjék. Amennyiben úgy érzi, hogy nem feleltünk meg ennek vagy bármilyen kérdése merülne fel ezzel kapcsolatban, kérjük jelezze számunkra fenti elérhetőségeinken.</w:t>
      </w:r>
    </w:p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</w:rPr>
        <w:t>Személyes adatai védelméhez fűződő jogai megsértése esetén jogorvoslati lehetőségért – amennyiben az Adatkezelő az Ön jelzése ellenére sem szünteti meg jogsértő magatartását – a Nemzeti Adatvédelmi és Információszabadság Hatósághoz fordulhat, alábbi elérhetőségein:</w:t>
      </w:r>
    </w:p>
    <w:p>
      <w:pPr>
        <w:pStyle w:val="Standard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W w:w="8762" w:type="dxa"/>
        <w:jc w:val="center"/>
        <w:tblInd w:w="0" w:type="dxa"/>
        <w:tblLayout w:type="fixed"/>
        <w:tblCellMar>
          <w:top w:w="28" w:type="dxa"/>
          <w:start w:w="57" w:type="dxa"/>
          <w:bottom w:w="28" w:type="dxa"/>
          <w:end w:w="55" w:type="dxa"/>
        </w:tblCellMar>
        <w:tblLook w:firstRow="1" w:noVBand="1" w:lastRow="0" w:firstColumn="1" w:lastColumn="0" w:noHBand="0" w:val="04a0"/>
      </w:tblPr>
      <w:tblGrid>
        <w:gridCol w:w="2383"/>
        <w:gridCol w:w="6379"/>
      </w:tblGrid>
      <w:tr>
        <w:trPr/>
        <w:tc>
          <w:tcPr>
            <w:tcW w:w="2383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Hivatalos név:</w:t>
            </w:r>
          </w:p>
        </w:tc>
        <w:tc>
          <w:tcPr>
            <w:tcW w:w="6379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Nemzeti Adatvédelmi és Információszabadság Hatóság (NAIH)</w:t>
            </w:r>
          </w:p>
        </w:tc>
      </w:tr>
      <w:tr>
        <w:trPr/>
        <w:tc>
          <w:tcPr>
            <w:tcW w:w="2383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Postai cím:</w:t>
            </w:r>
          </w:p>
        </w:tc>
        <w:tc>
          <w:tcPr>
            <w:tcW w:w="6379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1363 Budapest, Pf. 9.</w:t>
            </w:r>
          </w:p>
        </w:tc>
      </w:tr>
      <w:tr>
        <w:trPr/>
        <w:tc>
          <w:tcPr>
            <w:tcW w:w="2383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Telefonszám:</w:t>
            </w:r>
          </w:p>
        </w:tc>
        <w:tc>
          <w:tcPr>
            <w:tcW w:w="6379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+3613911400</w:t>
            </w:r>
          </w:p>
        </w:tc>
      </w:tr>
      <w:tr>
        <w:trPr/>
        <w:tc>
          <w:tcPr>
            <w:tcW w:w="2383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E-mail:</w:t>
            </w:r>
          </w:p>
        </w:tc>
        <w:tc>
          <w:tcPr>
            <w:tcW w:w="6379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/>
            </w:pPr>
            <w:hyperlink r:id="rId4">
              <w:r>
                <w:rPr>
                  <w:rStyle w:val="Style8"/>
                  <w:rFonts w:ascii="Times New Roman" w:hAnsi="Times New Roman"/>
                  <w:color w:val="0563C1"/>
                  <w:u w:val="single"/>
                </w:rPr>
                <w:t>ugyfelszolgalat@naih.hu</w:t>
              </w:r>
            </w:hyperlink>
          </w:p>
        </w:tc>
      </w:tr>
      <w:tr>
        <w:trPr/>
        <w:tc>
          <w:tcPr>
            <w:tcW w:w="2383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>
                <w:rFonts w:ascii="Times New Roman" w:hAnsi="Times New Roman"/>
              </w:rPr>
            </w:pPr>
            <w:r>
              <w:rPr>
                <w:rFonts w:cs="Times New Roman" w:ascii="Times New Roman" w:hAnsi="Times New Roman"/>
              </w:rPr>
              <w:t>Weboldal:</w:t>
            </w:r>
          </w:p>
        </w:tc>
        <w:tc>
          <w:tcPr>
            <w:tcW w:w="6379" w:type="dxa"/>
            <w:tcBorders>
              <w:top w:val="single" w:sz="2" w:space="0" w:color="000001"/>
              <w:start w:val="single" w:sz="2" w:space="0" w:color="000001"/>
              <w:bottom w:val="single" w:sz="2" w:space="0" w:color="000001"/>
              <w:end w:val="single" w:sz="2" w:space="0" w:color="000001"/>
            </w:tcBorders>
          </w:tcPr>
          <w:p>
            <w:pPr>
              <w:pStyle w:val="Tblzattartalom"/>
              <w:spacing w:before="0" w:after="0"/>
              <w:contextualSpacing w:val="false"/>
              <w:rPr/>
            </w:pPr>
            <w:r>
              <w:rPr>
                <w:rStyle w:val="Hiperhivatkozs1"/>
                <w:rFonts w:cs="Times New Roman" w:ascii="Times New Roman" w:hAnsi="Times New Roman"/>
                <w:color w:val="3465A4"/>
              </w:rPr>
              <w:t>www.naih.hu</w:t>
            </w:r>
          </w:p>
        </w:tc>
      </w:tr>
    </w:tbl>
    <w:p>
      <w:pPr>
        <w:pStyle w:val="Standard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Standard"/>
        <w:tabs>
          <w:tab w:val="clear" w:pos="709"/>
          <w:tab w:val="left" w:pos="828" w:leader="none"/>
          <w:tab w:val="left" w:pos="829" w:leader="none"/>
        </w:tabs>
        <w:jc w:val="both"/>
        <w:rPr/>
      </w:pPr>
      <w:r>
        <w:rPr>
          <w:rFonts w:cs="Times New Roman" w:ascii="Times New Roman" w:hAnsi="Times New Roman"/>
        </w:rPr>
        <w:t xml:space="preserve">Személyes adatainak védelme érdekében lehetősége van a bírósághoz is fordulni, amely az ügyben soron kívül jár el. Ebben az esetben szabadon eldöntheti, hogy a lakóhelye (állandó lakcím) vagy a tartózkodási helye (ideiglenes lakcím), illetve a jelen tájékoztató első oldalán ismertetett székhelyünk szerint illetékes törvényszéknél nyújtja-e be keresetét. Az illetékes törvényszéket megkeresheti a </w:t>
      </w:r>
      <w:hyperlink r:id="rId5">
        <w:r>
          <w:rPr>
            <w:rStyle w:val="Style8"/>
            <w:rFonts w:eastAsia="Calibri" w:cs="Times New Roman" w:ascii="Times New Roman" w:hAnsi="Times New Roman"/>
            <w:color w:val="0563C1"/>
            <w:u w:val="single"/>
          </w:rPr>
          <w:t>https://birosag.hu/birosag-kereso</w:t>
        </w:r>
      </w:hyperlink>
      <w:r>
        <w:rPr>
          <w:rFonts w:cs="Times New Roman" w:ascii="Times New Roman" w:hAnsi="Times New Roman"/>
        </w:rPr>
        <w:t xml:space="preserve"> oldalon.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comments.xml><?xml version="1.0" encoding="utf-8"?>
<w:comment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comment w:id="0" w:author="Ismeretlen szerző" w:date="2025-12-04T15:56:00Z" w:initials="Ismeretle">
    <w:p>
      <w:pPr>
        <w:overflowPunct w:val="false"/>
        <w:rPr/>
      </w:pPr>
      <w:r>
        <w:annotationRef/>
      </w:r>
      <w:r>
        <w:rPr>
          <w:rFonts w:eastAsia="Segoe UI" w:ascii="Liberation Serif" w:hAnsi="Liberation Serif" w:cs="Tahoma"/>
          <w:kern w:val="0"/>
          <w:szCs w:val="24"/>
          <w:lang w:val="en-US" w:eastAsia="en-US" w:bidi="en-US"/>
        </w:rPr>
        <w:t>Az Önkormányzat (adatkezelő) pontos megnevezésével kiegészítendő!</w:t>
      </w:r>
    </w:p>
  </w:comment>
  <w:comment w:id="1" w:author="Ismeretlen szerző" w:date="2025-12-04T15:56:00Z" w:initials="Ismeretle">
    <w:p>
      <w:pPr>
        <w:overflowPunct w:val="false"/>
        <w:rPr/>
      </w:pPr>
      <w:r>
        <w:annotationRef/>
      </w:r>
      <w:r>
        <w:rPr>
          <w:rFonts w:eastAsia="Segoe UI" w:ascii="Liberation Serif" w:hAnsi="Liberation Serif" w:cs="Tahoma"/>
          <w:kern w:val="0"/>
          <w:lang w:eastAsia="en-US" w:val="en-US" w:bidi="en-US"/>
        </w:rPr>
        <w:t>Kérjük szépen a megfelelő adatokkal feltölteni a táblázatot!</w:t>
      </w:r>
    </w:p>
  </w:comment>
</w:comments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ee" w:characterSet="windows-1250"/>
    <w:family w:val="roman"/>
    <w:pitch w:val="variable"/>
  </w:font>
  <w:font w:name="Liberation Serif">
    <w:altName w:val="Times New Roman"/>
    <w:charset w:val="01"/>
    <w:family w:val="roman"/>
    <w:pitch w:val="default"/>
  </w:font>
  <w:font w:name="Calibri">
    <w:charset w:val="ee" w:characterSet="windows-1250"/>
    <w:family w:val="swiss"/>
    <w:pitch w:val="variable"/>
  </w:font>
  <w:font w:name="Liberation Sans">
    <w:altName w:val="Arial"/>
    <w:charset w:val="01"/>
    <w:family w:val="swiss"/>
    <w:pitch w:val="default"/>
  </w:font>
  <w:font w:name="Calibri">
    <w:charset w:val="01"/>
    <w:family w:val="swiss"/>
    <w:pitch w:val="default"/>
  </w:font>
  <w:font w:name="Times New Roman">
    <w:charset w:val="ee" w:characterSet="windows-1250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start"/>
      <w:pPr>
        <w:tabs>
          <w:tab w:val="num" w:pos="0"/>
        </w:tabs>
        <w:ind w:star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start"/>
      <w:pPr>
        <w:tabs>
          <w:tab w:val="num" w:pos="0"/>
        </w:tabs>
        <w:ind w:star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start"/>
      <w:pPr>
        <w:tabs>
          <w:tab w:val="num" w:pos="0"/>
        </w:tabs>
        <w:ind w:star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start"/>
      <w:pPr>
        <w:tabs>
          <w:tab w:val="num" w:pos="0"/>
        </w:tabs>
        <w:ind w:star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start"/>
      <w:pPr>
        <w:tabs>
          <w:tab w:val="num" w:pos="0"/>
        </w:tabs>
        <w:ind w:star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start"/>
      <w:pPr>
        <w:tabs>
          <w:tab w:val="num" w:pos="0"/>
        </w:tabs>
        <w:ind w:star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start"/>
      <w:pPr>
        <w:tabs>
          <w:tab w:val="num" w:pos="0"/>
        </w:tabs>
        <w:ind w:star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start"/>
      <w:pPr>
        <w:tabs>
          <w:tab w:val="num" w:pos="0"/>
        </w:tabs>
        <w:ind w:star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0"/>
  <w:defaultTabStop w:val="709"/>
  <w:autoHyphenation w:val="true"/>
  <w:hyphenationZone w:val="425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hu-H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Lucida Sans"/>
        <w:kern w:val="2"/>
        <w:sz w:val="24"/>
        <w:szCs w:val="24"/>
        <w:lang w:val="hu-H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star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hu-HU" w:eastAsia="zh-CN" w:bidi="hi-IN"/>
    </w:rPr>
  </w:style>
  <w:style w:type="paragraph" w:styleId="Heading1">
    <w:name w:val="heading 1"/>
    <w:basedOn w:val="Standard"/>
    <w:uiPriority w:val="9"/>
    <w:qFormat/>
    <w:pPr>
      <w:widowControl w:val="false"/>
      <w:ind w:hanging="361" w:start="820"/>
      <w:outlineLvl w:val="0"/>
    </w:pPr>
    <w:rPr>
      <w:rFonts w:ascii="Calibri" w:hAnsi="Calibri" w:eastAsia="Calibri" w:cs="Calibri"/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rnetlink" w:customStyle="1">
    <w:name w:val="Internet link"/>
    <w:qFormat/>
    <w:rPr>
      <w:color w:val="000080"/>
      <w:u w:val="single"/>
    </w:rPr>
  </w:style>
  <w:style w:type="character" w:styleId="Hiperhivatkozs1" w:customStyle="1">
    <w:name w:val="Hiperhivatkozás1"/>
    <w:basedOn w:val="DefaultParagraphFont"/>
    <w:qFormat/>
    <w:rPr>
      <w:color w:val="0563C1"/>
      <w:u w:val="single"/>
    </w:rPr>
  </w:style>
  <w:style w:type="character" w:styleId="CommentTextChar" w:customStyle="1">
    <w:name w:val="Comment Text Char"/>
    <w:basedOn w:val="DefaultParagraphFont"/>
    <w:uiPriority w:val="99"/>
    <w:semiHidden/>
    <w:qFormat/>
    <w:rPr>
      <w:rFonts w:cs="Mangal"/>
      <w:sz w:val="20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qFormat/>
    <w:rPr>
      <w:sz w:val="16"/>
      <w:szCs w:val="16"/>
    </w:rPr>
  </w:style>
  <w:style w:type="character" w:styleId="Hyperlink">
    <w:name w:val="Hyperlink"/>
    <w:rPr>
      <w:color w:val="000080"/>
      <w:u w:val="single"/>
    </w:rPr>
  </w:style>
  <w:style w:type="paragraph" w:styleId="Cmsor" w:customStyle="1">
    <w:name w:val="Címsor"/>
    <w:basedOn w:val="Standard"/>
    <w:next w:val="Textbody"/>
    <w:qFormat/>
    <w:pPr>
      <w:keepNext w:val="true"/>
      <w:spacing w:before="240" w:after="120"/>
    </w:pPr>
    <w:rPr>
      <w:rFonts w:ascii="Liberation Sans" w:hAnsi="Liberation Sans" w:eastAsia="Microsoft YaHe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styleId="Trgymutat" w:customStyle="1">
    <w:name w:val="Tárgymutató"/>
    <w:basedOn w:val="Standard"/>
    <w:qFormat/>
    <w:pPr>
      <w:suppressLineNumbers/>
    </w:pPr>
    <w:rPr/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start"/>
      <w:textAlignment w:val="baseline"/>
    </w:pPr>
    <w:rPr>
      <w:rFonts w:ascii="Liberation Serif" w:hAnsi="Liberation Serif" w:eastAsia="NSimSun" w:cs="Lucida Sans"/>
      <w:color w:val="auto"/>
      <w:kern w:val="2"/>
      <w:sz w:val="24"/>
      <w:szCs w:val="24"/>
      <w:lang w:val="hu-HU" w:eastAsia="zh-CN" w:bidi="hi-IN"/>
    </w:rPr>
  </w:style>
  <w:style w:type="paragraph" w:styleId="Textbody" w:customStyle="1">
    <w:name w:val="Text body"/>
    <w:basedOn w:val="Standard"/>
    <w:qFormat/>
    <w:pPr>
      <w:spacing w:lineRule="auto" w:line="276" w:before="0" w:after="140"/>
    </w:pPr>
    <w:rPr/>
  </w:style>
  <w:style w:type="paragraph" w:styleId="TableParagraph" w:customStyle="1">
    <w:name w:val="Table Paragraph"/>
    <w:basedOn w:val="Standard"/>
    <w:qFormat/>
    <w:pPr>
      <w:widowControl w:val="false"/>
    </w:pPr>
    <w:rPr>
      <w:rFonts w:ascii="Calibri" w:hAnsi="Calibri" w:eastAsia="Calibri" w:cs="Calibri"/>
    </w:rPr>
  </w:style>
  <w:style w:type="paragraph" w:styleId="Tblzattartalom" w:customStyle="1">
    <w:name w:val="Táblázattartalom"/>
    <w:basedOn w:val="Standard"/>
    <w:qFormat/>
    <w:pPr>
      <w:widowControl w:val="false"/>
      <w:suppressLineNumbers/>
      <w:spacing w:before="0" w:after="0"/>
      <w:contextualSpacing/>
    </w:pPr>
    <w:rPr/>
  </w:style>
  <w:style w:type="paragraph" w:styleId="Megjegyzs" w:customStyle="1">
    <w:name w:val="Megjegyzés"/>
    <w:basedOn w:val="Standard"/>
    <w:qFormat/>
    <w:pPr>
      <w:spacing w:before="56" w:after="0"/>
      <w:ind w:start="57" w:end="57"/>
    </w:pPr>
    <w:rPr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unhideWhenUsed/>
    <w:pPr/>
    <w:rPr>
      <w:rFonts w:cs="Mangal"/>
      <w:sz w:val="20"/>
      <w:szCs w:val="18"/>
    </w:rPr>
  </w:style>
  <w:style w:type="numbering" w:styleId="Nincslista" w:default="1">
    <w:name w:val="Nincs lista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dpo@hanganov.hu" TargetMode="External"/><Relationship Id="rId4" Type="http://schemas.openxmlformats.org/officeDocument/2006/relationships/hyperlink" Target="mailto:ugyfelszolgalat@naih.hu" TargetMode="External"/><Relationship Id="rId5" Type="http://schemas.openxmlformats.org/officeDocument/2006/relationships/hyperlink" Target="https://birosag.hu/birosag-kereso" TargetMode="External"/><Relationship Id="rId6" Type="http://schemas.openxmlformats.org/officeDocument/2006/relationships/comments" Target="comment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-téma">
  <a:themeElements>
    <a:clrScheme name="Office">
      <a:dk1>
        <a:srgbClr val="000000"/>
      </a:dk1>
      <a:lt1>
        <a:srgbClr val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 pitchFamily="0" charset="1"/>
        <a:ea typeface=""/>
        <a:cs typeface=""/>
      </a:majorFont>
      <a:minorFont>
        <a:latin typeface="Aptos" panose="0211000402020202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  <a:ln w="2540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LibreOffice/25.8.1.1$Windows_X86_64 LibreOffice_project/54047653041915e595ad4e45cccea684809c77b5</Application>
  <AppVersion>15.0000</AppVersion>
  <Pages>3</Pages>
  <Words>793</Words>
  <Characters>5806</Characters>
  <CharactersWithSpaces>6529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2025-12-12T10:15:55Z</dcterms:created>
  <dc:creator>HANGANOV Kft.</dc:creator>
  <dc:description/>
  <dc:language>hu-HU</dc:language>
  <cp:lastModifiedBy>HANGANOV Kft.</cp:lastModifiedBy>
  <dcterms:modified xsi:type="dcterms:W3CDTF">2025-12-12T10:15:56Z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